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CB9D1A" w14:textId="77777777" w:rsidR="0085516A" w:rsidRDefault="0085516A"/>
    <w:p w14:paraId="7956BC5E" w14:textId="77777777" w:rsidR="0085516A" w:rsidRDefault="00000000">
      <w:pPr>
        <w:pStyle w:val="Ttulo"/>
      </w:pPr>
      <w:r>
        <w:t xml:space="preserve"> Estandarización ágil y agentes de IA: normalizando en tiempo real el ecosistema de datos abiertos</w:t>
      </w:r>
    </w:p>
    <w:p w14:paraId="0F855EC2" w14:textId="77777777" w:rsidR="0085516A" w:rsidRDefault="0085516A"/>
    <w:p w14:paraId="0A90EEA7" w14:textId="6831FEE3" w:rsidR="0085516A" w:rsidRDefault="00000000">
      <w:pPr>
        <w:jc w:val="center"/>
        <w:rPr>
          <w:i/>
        </w:rPr>
      </w:pPr>
      <w:r>
        <w:t xml:space="preserve">Documento para su presentación en el </w:t>
        <w:br/>
        <w:t>XIII Congreso Internacional en Gobierno, Administración y Políticas Públicas GIGAPP. Alcalá de Henares, Madrid, España, del 16 al 23 de septiembre de 2026.</w:t>
      </w:r>
    </w:p>
    <w:p w14:paraId="75203CA7" w14:textId="77777777" w:rsidR="0085516A" w:rsidRDefault="0085516A"/>
    <w:p w14:paraId="70C3D783" w14:textId="77777777" w:rsidR="0085516A" w:rsidRDefault="00000000">
      <w:pPr>
        <w:jc w:val="center"/>
        <w:rPr>
          <w:b/>
        </w:rPr>
      </w:pPr>
      <w:r>
        <w:t>Autor/a: Abella, Alberto</w:t>
      </w:r>
    </w:p>
    <w:p w14:paraId="242FBEBE" w14:textId="77777777" w:rsidR="0085516A" w:rsidRDefault="00000000">
      <w:pPr>
        <w:jc w:val="center"/>
      </w:pPr>
      <w:r>
        <w:t>Institución/organización: Líder de Smart Data Models y experto en datos abiertos, Fundación Cotec</w:t>
      </w:r>
    </w:p>
    <w:p w14:paraId="56B54621" w14:textId="77777777" w:rsidR="0085516A" w:rsidRDefault="00000000">
      <w:pPr>
        <w:jc w:val="center"/>
      </w:pPr>
      <w:r>
        <w:t>Email: alberto.abella@meloda.org</w:t>
      </w:r>
    </w:p>
    <w:p w14:paraId="0350484B" w14:textId="77777777" w:rsidR="0085516A" w:rsidRDefault="00000000">
      <w:pPr>
        <w:jc w:val="center"/>
      </w:pPr>
      <w:r>
        <w:t>ORCID ID: 0000-0003-0243-4606</w:t>
      </w:r>
    </w:p>
    <w:p w14:paraId="39F212BA" w14:textId="77777777" w:rsidR="0085516A" w:rsidRDefault="00000000">
      <w:pPr>
        <w:jc w:val="center"/>
      </w:pPr>
      <w:r>
        <w:t>RRSS/ Twitter: @aabella</w:t>
      </w:r>
    </w:p>
    <w:p w14:paraId="16C54D3B" w14:textId="77777777" w:rsidR="0085516A" w:rsidRDefault="0085516A"/>
    <w:p w14:paraId="2A308AE1" w14:textId="77777777" w:rsidR="0085516A" w:rsidRDefault="00000000">
      <w:r>
        <w:br w:type="page"/>
      </w:r>
    </w:p>
    <w:p w14:paraId="234CA74B" w14:textId="77777777" w:rsidR="0085516A" w:rsidRDefault="00000000">
      <w:pPr>
        <w:pStyle w:val="Ttulo2"/>
        <w:ind w:firstLine="284"/>
      </w:pPr>
      <w:r>
        <w:lastRenderedPageBreak/>
        <w:t>Resumen/Resumo/</w:t>
      </w:r>
      <w:proofErr w:type="spellStart"/>
      <w:r>
        <w:t>abstract</w:t>
      </w:r>
      <w:proofErr w:type="spellEnd"/>
      <w:r>
        <w:t xml:space="preserve">: </w:t>
      </w:r>
    </w:p>
    <w:p w14:paraId="4EBA9BA5" w14:textId="77777777" w:rsidR="0085516A" w:rsidRDefault="00000000">
      <w:proofErr w:type="spellStart"/>
      <w:proofErr w:type="spellEnd"/>
      <w:proofErr w:type="spellStart"/>
      <w:proofErr w:type="spellEnd"/>
      <w:r>
        <w:rPr/>
        <w:t xml:space="preserve">La Inteligencia Artificial (IA) ha transformado la capacidad de producción de código, permitiendo una publicación de datos abiertos más rápida pero, a su vez, exacerbando el reto histórico de la dispersión de modelos de datos y lastrando la interoperabilidad y, con ella, el impacto. Este artículo analiza cómo la estandarización ágil, fundamentada en el </w:t>
      </w:r>
      <w:hyperlink r:id="rId8">
        <w:r>
          <w:rPr>
            <w:i/>
            <w:color w:val="0563C1"/>
            <w:u w:val="single"/>
          </w:rPr>
          <w:t xml:space="preserve">Manifesto for Agile Standardization</w:t>
        </w:r>
      </w:hyperlink>
      <w:r>
        <w:rPr/>
        <w:t xml:space="preserve"> y sus siete mejores prácticas —agilidad sin necesidad de consenso previo, equilibrio entre reutilización y creación, centralidad en casos reales, apertura con licencia libre, adaptabilidad por generalización, autocontención y consistencia mediante sostenibilidad—, ofrece una solución dinámica a este problema, frente a organismos de estandarización clásicos cuya lentitud los hace progresivamente más irrelevantes si no se adaptan. Se presenta </w:t>
      </w:r>
      <w:hyperlink r:id="rId9">
        <w:r>
          <w:rPr>
            <w:color w:val="0563C1"/>
            <w:u w:val="single"/>
          </w:rPr>
          <w:t xml:space="preserve">Smart Data Models</w:t>
        </w:r>
      </w:hyperlink>
      <w:r>
        <w:rPr/>
        <w:t xml:space="preserve"> como el ejemplo representativo que implementa con éxito esta metodología, demostrando que la normalización puede ser tan veloz como la generación de los datos, y que su repositorio de candidatos además “recupera” parte de la dispersión existente al reducir las barreras técnicas de adopción de estándares abiertos ya existentes. En este nuevo paradigma, el uso de agentes de IA se propone como el motor definitivo para la agilidad, permitiendo la normalización de los datos abiertos en tiempo real y cerrando la brecha entre la publicación masiva de datos y la interoperabilidad semántica, una velocidad que previsiblemente aumentará con la evolución de estos agentes. Bajo este marco técnico, se expone </w:t>
      </w:r>
      <w:hyperlink r:id="rId10">
        <w:r>
          <w:rPr>
            <w:color w:val="0563C1"/>
            <w:u w:val="single"/>
          </w:rPr>
          <w:t xml:space="preserve">spain.meloda.org</w:t>
        </w:r>
      </w:hyperlink>
      <w:r>
        <w:rPr/>
        <w:t xml:space="preserve">, monitorizador de datos abiertos de España, como una aplicación crítica que materializa las posibilidades de la IA: agrega más de 200.000 datasets de toda España, evalúa semanalmente su potencial de reutilización mediante </w:t>
      </w:r>
      <w:hyperlink r:id="rId11">
        <w:r>
          <w:rPr>
            <w:color w:val="0563C1"/>
            <w:u w:val="single"/>
          </w:rPr>
          <w:t xml:space="preserve">MELODA 5</w:t>
        </w:r>
      </w:hyperlink>
      <w:r>
        <w:rPr/>
        <w:t xml:space="preserve"> y permite acceso mediante APIs y el protocolo </w:t>
      </w:r>
      <w:hyperlink r:id="rId12">
        <w:r>
          <w:rPr>
            <w:color w:val="0563C1"/>
            <w:u w:val="single"/>
          </w:rPr>
          <w:t xml:space="preserve">MCP (Model Context Protocol)</w:t>
        </w:r>
      </w:hyperlink>
      <w:r>
        <w:rPr/>
        <w:t xml:space="preserve"> para agentes de inteligencia artificial, no exento de fricciones, ya que numerosos portales limitan el harvesting intensivo al no poder diferenciarlo de un ataque digital. El estudio concluye que la combinación de métricas de calidad (MELODA), modelos de datos ágiles y agentes de IA no resuelve por completo la dispersión estructural del ecosistema, pero constituye la vía más eficaz para contenerla y transformar los datos abiertos dispersos en activos estratégicos, maximizando el impacto socioeconómico de los datos abiertos en la era de la IA.</w:t>
      </w:r>
    </w:p>
    <w:p w14:paraId="67F1FA02" w14:textId="77777777" w:rsidR="0085516A" w:rsidRDefault="0085516A"/>
    <w:p w14:paraId="4910FC3D" w14:textId="77777777" w:rsidR="0085516A" w:rsidRDefault="00000000">
      <w:pPr>
        <w:pStyle w:val="Ttulo2"/>
        <w:ind w:firstLine="284"/>
      </w:pPr>
      <w:r>
        <w:t>Palabras clave/</w:t>
      </w:r>
      <w:proofErr w:type="spellStart"/>
      <w:r>
        <w:t>palavras</w:t>
      </w:r>
      <w:proofErr w:type="spellEnd"/>
      <w:r>
        <w:t xml:space="preserve"> chave: </w:t>
      </w:r>
    </w:p>
    <w:p w14:paraId="2BA97E03" w14:textId="77777777" w:rsidR="0085516A" w:rsidRDefault="00000000">
      <w:r>
        <w:t>estandarización ágil, datos abiertos, Smart Data Models, agentes de IA, MELODA</w:t>
      </w:r>
    </w:p>
    <w:p w14:paraId="2054085E" w14:textId="77777777" w:rsidR="0085516A" w:rsidRDefault="0085516A"/>
    <w:p w14:paraId="52D1B85E" w14:textId="77777777" w:rsidR="0085516A" w:rsidRDefault="00000000">
      <w:pPr>
        <w:pStyle w:val="Ttulo2"/>
        <w:ind w:firstLine="284"/>
      </w:pPr>
      <w:r>
        <w:t xml:space="preserve">Nota biográfica/short Bio autor/es: </w:t>
      </w:r>
    </w:p>
    <w:p w14:paraId="529ACD28" w14:textId="77777777" w:rsidR="0085516A" w:rsidRDefault="00000000">
      <w:r>
        <w:t>Alberto Abella es Doctor en Empresa, especialidad en datos abiertos, e Ingeniero Superior de Telecomunicaciones, con másteres en Total Quality Management (UPM), Administración de Empresas (UNED) y Organización de Empresas (URJC). Es coordinador de la iniciativa Smart Data Models y creador de MELODA, metodología de referencia para evaluar la reutilización de datos abiertos. Colaborador académico de la Universidad Rey Juan Carlos, sus líneas de trabajo abarcan la interoperabilidad semántica, los datos abiertos y la aplicación de la IA a la gestión de información pública.</w:t>
      </w:r>
    </w:p>
    <w:p>
      <w:pPr>
        <w:pStyle w:val="Ttulo1"/>
      </w:pPr>
      <w:r>
        <w:t>Estandarización ágil y agentes de IA: normalizando en tiempo real el ecosistema de datos abiertos</w:t>
      </w:r>
    </w:p>
    <w:p>
      <w:pPr>
        <w:pStyle w:val="Ttulo2"/>
      </w:pPr>
      <w:r>
        <w:rPr/>
        <w:t>1. Introducción</w:t>
      </w:r>
    </w:p>
    <w:p>
      <w:pPr/>
      <w:r>
        <w:rPr/>
        <w:t xml:space="preserve">La generalización de la Inteligencia Artificial generativa ha alterado de forma radical la economía de la producción de software y, con ella, potencialmente la de la publicación de datos abiertos. Escribir un conector para un portal de datos, transformar un fichero heterogéneo en una API, o generar un esquema JSON a partir de una hoja de cálculo son hoy tareas que un agente de IA resuelve en minutos allí donde antes se requerían semanas de trabajo especializado. Conviene, sin embargo, distinguir con precisión dos afirmaciones que suelen confundirse: que el coste marginal de publicar un dato haya disminuido drásticamente es un hecho tecnológico verificable; que ello se haya traducido ya en un incremento efectivo y medible del volumen de datos abiertos publicados es, por el contrario, una hipótesis todavía sin respaldo empírico sólido. La reducción de coste es una condición favorable, no una causa suficiente: para que se materialice en más publicación hace falta que los organismos públicos adopten realmente estas herramientas, lo cual depende de factores organizativos, presupuestarios y de gobernanza del dato que nada tienen que ver con la disponibilidad técnica de la IA, y que en ocasiones actúan en sentido contrario —por ejemplo, restricciones de seguridad o marcos de gobernanza del dato que limitan expresamente el uso de asistentes de IA sobre información pública—. El propio </w:t>
      </w:r>
      <w:hyperlink r:id="rId13">
        <w:r>
          <w:rPr>
            <w:color w:val="0563C1"/>
            <w:u w:val="single"/>
          </w:rPr>
          <w:t xml:space="preserve">informe de referencia sobre la reutilización de datos abiertos en España</w:t>
        </w:r>
      </w:hyperlink>
      <w:r>
        <w:rPr/>
        <w:t xml:space="preserve"> (Abella </w:t>
      </w:r>
      <w:r>
        <w:rPr>
          <w:i/>
        </w:rPr>
        <w:t>et al.</w:t>
      </w:r>
      <w:r>
        <w:rPr/>
        <w:t>, 2024) sitúa los avances en IA como una oportunidad emergente para el ecosistema, no como una tendencia ya consolidada y cuantificada en el volumen de datasets publicados. Este artículo, por tanto, no da por probado un aumento ya producido en la publicación de datos, sino que argumenta sobre su plausibilidad y, sobre todo, sobre el riesgo que ese aumento —cuando se produzca, con la adopción efectiva de la IA— representaría para la interoperabilidad si no se acompaña de una estandarización igualmente ágil.</w:t>
      </w:r>
    </w:p>
    <w:p>
      <w:pPr/>
      <w:r>
        <w:rPr/>
        <w:t>Con independencia de si el volumen agregado de datos publicados ya ha crecido de forma medible, esta misma facilidad tiene un efecto colateral que la literatura sobre datos abiertos lleva más de una década señalando (</w:t>
      </w:r>
      <w:hyperlink r:id="rId14">
        <w:r>
          <w:rPr>
            <w:i/>
            <w:color w:val="0563C1"/>
            <w:u w:val="single"/>
          </w:rPr>
          <w:t xml:space="preserve">Abella et al., 2014</w:t>
        </w:r>
      </w:hyperlink>
      <w:r>
        <w:rPr/>
        <w:t xml:space="preserve">; </w:t>
      </w:r>
      <w:hyperlink r:id="rId15">
        <w:r>
          <w:rPr>
            <w:color w:val="0563C1"/>
            <w:u w:val="single"/>
          </w:rPr>
          <w:t xml:space="preserve">Zuiderwijk y Janssen, 2013</w:t>
        </w:r>
      </w:hyperlink>
      <w:r>
        <w:rPr/>
        <w:t>): la dispersión de modelos de datos. Cuando publicar es barato, cada organismo, departamento o incluso cada funcionario con acceso a un asistente de IA puede generar su propio modelo de datos para representar, por ejemplo, una parada de autobús, una incidencia municipal o una subvención pública. La IA no crea este problema —ya existía—, pero lo multiplica exponencialmente al eliminar la fricción técnica que antes actuaba, sin quererlo, como un freno involuntario a la proliferación de esquemas incompatibles entre sí. Allí donde se publique más, es previsible que se publique de forma más fragmentada, y esa fragmentación erosionaría precisamente lo que hace valiosos a los datos abiertos: la posibilidad de combinarlos, agregarlos y reutilizarlos a través de fronteras organizativas.</w:t>
      </w:r>
    </w:p>
    <w:p>
      <w:pPr/>
      <w:r>
        <w:rPr/>
        <w:t xml:space="preserve">Esta cuestión no es meramente técnica, sino que tiene una dimensión económica de fondo cada vez más reconocida: el papel de los datos abiertos como insumo de la economía del dato es creciente, pero su aprovechamiento real permanece muy por debajo de su potencial mientras no exista una convergencia mínima en la forma en que se documentan y modelan. De poco sirve que un organismo publique un dataset de alto valor si su esquema, sus metadatos o su nivel de actualización impiden a terceros —empresas infomediarias, investigadores o agentes de IA— construir servicios sobre él con un esfuerzo razonable. Iniciativas como la de </w:t>
      </w:r>
      <w:hyperlink r:id="rId16">
        <w:r>
          <w:rPr>
            <w:color w:val="0563C1"/>
            <w:u w:val="single"/>
          </w:rPr>
          <w:t xml:space="preserve">ASEDIE</w:t>
        </w:r>
      </w:hyperlink>
      <w:r>
        <w:rPr/>
        <w:t>, que desde 2019 impulsa la apertura de conjuntos de datos de referencia armonizados entre las diecisiete comunidades autónomas —asociaciones, fundaciones, polígonos industriales, centros sanitarios, centros educativos o certificados de eficiencia energética, entre otros—, o la entrada en aplicación en toda la Unión Europea de la relación de conjuntos de datos de alto valor (</w:t>
      </w:r>
      <w:r>
        <w:rPr>
          <w:i/>
        </w:rPr>
        <w:t>high-value datasets</w:t>
      </w:r>
      <w:r>
        <w:rPr/>
        <w:t xml:space="preserve">) establecida por el </w:t>
      </w:r>
      <w:hyperlink r:id="rId17">
        <w:r>
          <w:rPr>
            <w:color w:val="0563C1"/>
            <w:u w:val="single"/>
          </w:rPr>
          <w:t xml:space="preserve">Reglamento de Ejecución (UE) 2023/138</w:t>
        </w:r>
      </w:hyperlink>
      <w:r>
        <w:rPr/>
        <w:t xml:space="preserve"> —que exige su publicación gratuita, en formatos legibles por máquina y accesibles mediante API en seis categorías que van de la información geoespacial a la movilidad—, apuntan en la misma dirección que este artículo defiende: sin convergencia semántica y documental, la utilización de los datos abiertos quedará sistemáticamente por debajo de lo que su volumen publicado permitiría.</w:t>
      </w:r>
    </w:p>
    <w:p>
      <w:pPr/>
      <w:r>
        <w:rPr/>
        <w:t>Un ejemplo cotidiano ilustra la magnitud del problema: representar algo tan simple como una parada de autobús admite, solo en el contexto español, decenas de variantes de facto —con nombres de atributo, unidades y estructuras de anidamiento distintas— generadas de forma independiente por ayuntamientos, consorcios de transporte y operadores privados, mucho antes de que la IA generativa entrara en escena. Lo que la IA añade no es el fenómeno, sino su ritmo de generación: si antes se tardaba semanas en programar un nuevo conector o modelo ad hoc, hoy un empleado público sin formación técnica puede pedir a un asistente de IA que le genere, en minutos, un esquema completo para publicar sus datos, sin ninguna referencia al que ya usa el municipio vecino.</w:t>
      </w:r>
    </w:p>
    <w:p>
      <w:pPr/>
      <w:r>
        <w:rPr/>
        <w:t>Frente a este fenómeno, los organismos clásicos de estandarización —</w:t>
      </w:r>
      <w:hyperlink r:id="rId18">
        <w:r>
          <w:rPr>
            <w:color w:val="0563C1"/>
            <w:u w:val="single"/>
          </w:rPr>
          <w:t xml:space="preserve">ISO</w:t>
        </w:r>
      </w:hyperlink>
      <w:r>
        <w:rPr/>
        <w:t xml:space="preserve">, </w:t>
      </w:r>
      <w:hyperlink r:id="rId19">
        <w:r>
          <w:rPr>
            <w:color w:val="0563C1"/>
            <w:u w:val="single"/>
          </w:rPr>
          <w:t xml:space="preserve">CEN</w:t>
        </w:r>
      </w:hyperlink>
      <w:r>
        <w:rPr/>
        <w:t xml:space="preserve"> o, en España, </w:t>
      </w:r>
      <w:hyperlink r:id="rId20">
        <w:r>
          <w:rPr>
            <w:color w:val="0563C1"/>
            <w:u w:val="single"/>
          </w:rPr>
          <w:t xml:space="preserve">UNE</w:t>
        </w:r>
      </w:hyperlink>
      <w:r>
        <w:rPr/>
        <w:t>— operan en una escala temporal que se mide en decenas de meses: los plazos habituales de sus procesos de elaboración y aprobación de una norma se sitúan típicamente en 18, 24 o 30 meses, en el mejor de los casos. Esta lentitud no es accidental ni fruto de la desidia, sino consecuencia directa de su propio diseño institucional: una gobernanza basada en el consenso exhaustivo entre partes interesadas, ciclos formales de votación y revisión pública, y una estructura de comités que, precisamente para garantizar legitimidad y evitar la captura por intereses particulares, sacrifica deliberadamente la velocidad. Ese diseño tenía sentido en un contexto de baja producción de datos, donde el coste de esperar dos años era asumible porque la alternativa —una proliferación descontrolada de esquemas— tardaba un tiempo comparable en materializarse. Ese supuesto es cada vez más frágil: cuando un estándar tarda dos años en publicarse, el ecosistema al que pretendía dar respuesta puede haber generado ya, con ayuda de la IA, numerosas variantes de facto que compiten con él desde antes de su publicación, y que en no pocos casos ya cuentan con una base de adopción que el estándar oficial, cuando por fin llega, deberá desplazar en lugar de simplemente ocupar. La consecuencia no es solo la pérdida de una oportunidad puntual, sino un riesgo estructural para la propia legitimidad de estos organismos: si no adaptan su ritmo de trabajo a la velocidad de generación de datos que la IA hace posible, su relevancia decrecerá progresivamente, no porque sus estándares dejen de ser técnicamente sólidos, sino porque llegarán sistemáticamente tarde. Y la normalización de facto seguirá produciéndose en todo caso, pero fuera de su ámbito de gobernanza, en manos de quien primero publique un esquema que otros decidan copiar, con la consiguiente pérdida de control sobre la calidad, la neutralidad y la orientación al interés general que estos organismos estaban llamados a garantizar.</w:t>
      </w:r>
    </w:p>
    <w:p>
      <w:pPr/>
      <w:r>
        <w:rPr/>
        <w:t xml:space="preserve">Este artículo sostiene que la respuesta a este desafío no es ralentizar la producción de datos —una batalla perdida de antemano— sino acelerar la estandarización hasta igualar su velocidad. Para ello se apoya en el concepto de </w:t>
      </w:r>
      <w:r>
        <w:rPr>
          <w:i/>
        </w:rPr>
        <w:t>estandarización ágil</w:t>
      </w:r>
      <w:r>
        <w:rPr/>
        <w:t xml:space="preserve">, formalizado en el </w:t>
      </w:r>
      <w:r>
        <w:rPr>
          <w:i/>
        </w:rPr>
        <w:t>Manifesto for Agile Standardization</w:t>
      </w:r>
      <w:r>
        <w:rPr/>
        <w:t xml:space="preserve"> (Abella y Fox, 2022), y en su implementación de referencia, el programa Smart Data Models. Se argumenta además que los agentes de IA, lejos de ser solo la causa del problema, son también la pieza que permite cerrarlo: automatizando la propia tarea de normalización semántica en tiempo real. Como caso de aplicación crítica se analiza spain.meloda.org, un monitor que agrega y evalúa la calidad de más de 200.000 datasets españoles y que expone esa información a agentes de IA mediante el protocolo MCP (Model Context Protocol), cerrando el círculo entre publicación masiva, evaluación de calidad y consumo automatizado.</w:t>
      </w:r>
    </w:p>
    <w:p>
      <w:pPr/>
      <w:r>
        <w:rPr/>
        <w:t>La estructura del artículo es la siguiente: la sección 2 desarrolla el marco teórico de la estandarización ágil; la sección 3 presenta Smart Data Models como caso de estudio; la sección 4 argumenta el papel de los agentes de IA como motor de agilidad; la sección 5 analiza spain.meloda.org como aplicación crítica, incluyendo las fricciones técnicas que enfrenta; la sección 6 discute el alcance real de esta combinación de tecnologías; y la sección 7 recoge las conclusiones.</w:t>
      </w:r>
    </w:p>
    <w:p>
      <w:pPr>
        <w:pStyle w:val="Ttulo2"/>
      </w:pPr>
      <w:r>
        <w:rPr/>
        <w:t>2. Marco teórico: la estandarización ágil</w:t>
      </w:r>
    </w:p>
    <w:p>
      <w:pPr/>
      <w:r>
        <w:rPr/>
        <w:t>La estandarización ágil se define, en contraste con la estandarización clásica, no por su contenido sino por su método y su velocidad. Mientras que los procesos clásicos de normalización priorizan el consenso exhaustivo entre partes interesadas —lo que exige ciclos de revisión largos y una gobernanza formal costosa de mantener—, la estandarización ágil prioriza la utilidad inmediata para casos reales, aceptando la revisión continua como mecanismo de mejora en lugar de la deliberación previa como condición de publicación.</w:t>
      </w:r>
    </w:p>
    <w:p>
      <w:pPr/>
      <w:r>
        <w:rPr/>
        <w:t xml:space="preserve">Esta filosofía quedó formalizada en el </w:t>
      </w:r>
      <w:hyperlink r:id="rId8">
        <w:r>
          <w:rPr>
            <w:i/>
            <w:color w:val="0563C1"/>
            <w:u w:val="single"/>
          </w:rPr>
          <w:t xml:space="preserve">Manifesto for Agile Standardization</w:t>
        </w:r>
      </w:hyperlink>
      <w:r>
        <w:rPr/>
        <w:t xml:space="preserve"> (MAS), redactado por Abella y Fox (2022) en el marco del programa Smart Data Models de </w:t>
      </w:r>
      <w:hyperlink r:id="rId21">
        <w:r>
          <w:rPr>
            <w:color w:val="0563C1"/>
            <w:u w:val="single"/>
          </w:rPr>
          <w:t xml:space="preserve">FIWARE Foundation</w:t>
        </w:r>
      </w:hyperlink>
      <w:r>
        <w:rPr/>
        <w:t>, que enuncia siete mejores prácticas. A efectos de este artículo, y para facilitar su discusión, se agrupan bajo siete principios operativos:</w:t>
      </w:r>
    </w:p>
    <w:p>
      <w:pPr/>
      <w:r>
        <w:rPr>
          <w:b/>
        </w:rPr>
        <w:t>Agilidad</w:t>
      </w:r>
      <w:r>
        <w:rPr/>
        <w:t xml:space="preserve"> (“</w:t>
      </w:r>
      <w:r>
        <w:rPr>
          <w:i/>
        </w:rPr>
        <w:t>Don’t just standardize, be agile and standardize</w:t>
      </w:r>
      <w:r>
        <w:rPr/>
        <w:t>”): la velocidad de la estandarización debe medirse en días o semanas, no en meses o años. Esto exige minimizar la intervención humana en las tareas mecánicas del proceso —validación de esquemas, generación de ejemplos, control de sintaxis— reservando el juicio humano para las decisiones semánticas que realmente lo requieren. Este principio implica, de forma explícita, eliminar la necesidad de consenso previo y exhaustivo entre partes interesadas, precisamente la causa estructural de la lentitud de los procesos ISO, CEN o UNE descritos en la introducción: la validación se desplaza del comité al uso real posterior.</w:t>
      </w:r>
    </w:p>
    <w:p>
      <w:pPr/>
      <w:r>
        <w:rPr>
          <w:b/>
        </w:rPr>
        <w:t>Equilibrio entre reutilización y creación</w:t>
      </w:r>
      <w:r>
        <w:rPr/>
        <w:t xml:space="preserve"> (“</w:t>
      </w:r>
      <w:r>
        <w:rPr>
          <w:i/>
        </w:rPr>
        <w:t>Do not reinvent the wheel</w:t>
      </w:r>
      <w:r>
        <w:rPr/>
        <w:t>”): ningún estándar nuevo debe crearse si ya existe una solución de mercado con licencia abierta que resuelva el mismo problema. El equilibrio consiste en no ceder ni a la tentación de la originalidad académica —crear ontologías que buscan usuarios en lugar de resolver problemas reales— ni a la pasividad de no actuar cuando la solución existente es inadecuada.</w:t>
      </w:r>
    </w:p>
    <w:p>
      <w:pPr/>
      <w:r>
        <w:rPr>
          <w:b/>
        </w:rPr>
        <w:t>Centralidad en casos reales</w:t>
      </w:r>
      <w:r>
        <w:rPr/>
        <w:t xml:space="preserve"> (“</w:t>
      </w:r>
      <w:r>
        <w:rPr>
          <w:i/>
        </w:rPr>
        <w:t>Normalize real cases</w:t>
      </w:r>
      <w:r>
        <w:rPr/>
        <w:t>”): la estandarización ágil parte exclusivamente de casos que ya han demostrado su utilidad en situaciones de mercado, no de ejercicios teóricos de modelización. El usuario final —quien va a implementar el modelo— es el criterio último de validez, no el comité que lo redacta.</w:t>
      </w:r>
    </w:p>
    <w:p>
      <w:pPr/>
      <w:r>
        <w:rPr>
          <w:b/>
        </w:rPr>
        <w:t>Apertura</w:t>
      </w:r>
      <w:r>
        <w:rPr/>
        <w:t xml:space="preserve"> (“</w:t>
      </w:r>
      <w:r>
        <w:rPr>
          <w:i/>
        </w:rPr>
        <w:t>Be open</w:t>
      </w:r>
      <w:r>
        <w:rPr/>
        <w:t>”): los resultados deben publicarse bajo licencia abierta que permita reutilización, modificación y redistribución libres, en coherencia con el origen habitualmente abierto de las regulaciones y casos de uso de partida. Esta licencia libre no es solo una cuestión legal o ética: es, además, una condición práctica de la propia velocidad de adopción, ya que elimina las barreras contractuales y de negociación que ralentizan la incorporación de un modelo por parte de terceros, permitiendo una adopción rápida y generalizada que sería inviable si cada implementador tuviera que negociar individualmente los términos de uso.</w:t>
      </w:r>
    </w:p>
    <w:p>
      <w:pPr/>
      <w:r>
        <w:rPr>
          <w:b/>
        </w:rPr>
        <w:t>Adaptabilidad por generalización</w:t>
      </w:r>
      <w:r>
        <w:rPr/>
        <w:t xml:space="preserve"> (“</w:t>
      </w:r>
      <w:r>
        <w:rPr>
          <w:i/>
        </w:rPr>
        <w:t>Don’t be overly specific</w:t>
      </w:r>
      <w:r>
        <w:rPr/>
        <w:t>”): un modelo de datos agile debe cubrir el mayor número posible de casos, limitando los atributos obligatorios al mínimo imprescindible, ya que lo que es obligatorio para un caso de uso puede ser opcional —o irrelevante— para otro. La adaptabilidad se logra evitando la sobre-especificación, no añadiendo excepciones a posteriori.</w:t>
      </w:r>
    </w:p>
    <w:p>
      <w:pPr/>
      <w:r>
        <w:rPr>
          <w:b/>
        </w:rPr>
        <w:t>Autocontención</w:t>
      </w:r>
      <w:r>
        <w:rPr/>
        <w:t xml:space="preserve"> (“</w:t>
      </w:r>
      <w:r>
        <w:rPr>
          <w:i/>
        </w:rPr>
        <w:t>Flat not Deep</w:t>
      </w:r>
      <w:r>
        <w:rPr/>
        <w:t>”): los modelos deben evitar, en la medida de lo posible, remitir a definiciones externas. Un modelo que referencia a otro modelo que a su vez referencia a un tercero puede ser ontológicamente impecable, pero en la práctica dificulta el acceso a los datos desde una única fuente, y presenta además un riesgo operativo concreto: si el enlace a esa definición externa deja de estar disponible —el recurso se mueve, se retira o su mantenedor desaparece—, todo el modelo que dependía de él queda comprometido. La autocontención no es, por tanto, solo una cuestión de comodidad de acceso, sino de resiliencia del propio modelo frente a dependencias que escapan a su control.</w:t>
      </w:r>
    </w:p>
    <w:p>
      <w:pPr/>
      <w:r>
        <w:rPr>
          <w:b/>
        </w:rPr>
        <w:t>Consistencia mediante sostenibilidad</w:t>
      </w:r>
      <w:r>
        <w:rPr/>
        <w:t xml:space="preserve"> (“</w:t>
      </w:r>
      <w:r>
        <w:rPr>
          <w:i/>
        </w:rPr>
        <w:t>Sustainability is key</w:t>
      </w:r>
      <w:r>
        <w:rPr/>
        <w:t>”): la estandarización ágil no es un esfuerzo puntual guiado por un proyecto con fecha de fin, sino que exige mecanismos de continuidad que permitan modificar el modelo a medida que cambia el mercado, manteniendo su consistencia interna a lo largo del tiempo en lugar de congelarlo en una versión inicial.</w:t>
      </w:r>
    </w:p>
    <w:p>
      <w:pPr/>
      <w:r>
        <w:rPr/>
        <w:t>La combinación de los principios tercero y quinto merece una lectura conjunta, porque de ella se deriva el mecanismo concreto que reduce la dispersión. Cuando el primer organismo o empresa que resuelve un caso real de modelado lo hace, además, con el mínimo de criterios necesarios para que otros puedan generalizarlo —sin sobre-especificar el modelo a su propio contexto—, no se limita a resolver su propio problema: está compartiendo con el resto del ecosistema un trabajo de normalización que, de otro modo, cada organismo tendría que rehacer por su cuenta. Si ese primer modelo se publica, además, de forma que resulte fácil de extender —añadiendo atributos opcionales sin romper lo ya definido, en lugar de exigir una reescritura completa para cada nuevo caso de uso—, el resto de potenciales adoptantes encuentra más barato adherirse al modelo existente que crear uno propio. Es precisamente esta combinación —evidencia de uso real, generalización mínima y facilidad de extensión— la que permite alcanzar la velocidad de convergencia necesaria para contener la dispersión, y no cualquiera de los principios por separado.</w:t>
      </w:r>
    </w:p>
    <w:p>
      <w:pPr/>
      <w:r>
        <w:rPr/>
        <w:t>La diferencia de fondo con la estandarización clásica no es, por tanto, de rigor —los modelos ágiles pueden ser tan rigurosos como cualquier estándar ISO— sino de gobernanza temporal: la estandarización ágil delega en el uso continuado y en la revisión iterativa la función que la estandarización clásica delega en el comité y en la deliberación previa. Dicho de otro modo, donde el modelo clásico busca acertar antes de publicar, el modelo ágil publica para poder acertar, y trata cada versión no como una conclusión sino como una hipótesis de trabajo sometida a validación continua por el propio mercado que la usa. Esta diferencia es la que permite, como se argumenta en la siguiente sección, que la normalización compita en velocidad con la propia generación de datos impulsada por la IA.</w:t>
      </w:r>
    </w:p>
    <w:p>
      <w:pPr/>
      <w:r>
        <w:rPr/>
        <w:t>Conviene subrayar, no obstante, que la estandarización ágil no es un sustituto universal de la estandarización clásica, sino un complemento orientado a un problema distinto. Los procesos ISO o CEN siguen siendo insustituibles allí donde la interoperabilidad exige garantías jurídicas fuertes, responsabilidad regulatoria o armonización transnacional vinculante —por ejemplo, en materia de seguridad, salud o certificación—. La estandarización ágil, en cambio, resulta idónea precisamente en el terreno que estos procesos no pueden cubrir a tiempo: la enorme y creciente masa de datos abiertos de uso cotidiano, donde el coste de un pequeño error de modelado es bajo y reversible, pero el coste de la inacción —o de la lentitud— es la fragmentación irreversible del ecosistema.</w:t>
      </w:r>
    </w:p>
    <w:p>
      <w:pPr>
        <w:pStyle w:val="Ttulo2"/>
      </w:pPr>
      <w:r>
        <w:rPr/>
        <w:t>3. Caso de estudio: Smart Data Models</w:t>
      </w:r>
    </w:p>
    <w:p>
      <w:pPr/>
      <w:hyperlink r:id="rId9">
        <w:r>
          <w:rPr>
            <w:color w:val="0563C1"/>
            <w:u w:val="single"/>
          </w:rPr>
          <w:t xml:space="preserve">Smart Data Models</w:t>
        </w:r>
      </w:hyperlink>
      <w:r>
        <w:rPr/>
        <w:t xml:space="preserve"> es la implementación de referencia de la estandarización ágil descrita en la sección anterior. Impulsado originalmente por FIWARE Foundation, el programa desarrolla esquemas de datos en formato </w:t>
      </w:r>
      <w:hyperlink r:id="rId22">
        <w:r>
          <w:rPr>
            <w:color w:val="0563C1"/>
            <w:u w:val="single"/>
          </w:rPr>
          <w:t xml:space="preserve">JSON Schema</w:t>
        </w:r>
      </w:hyperlink>
      <w:r>
        <w:rPr/>
        <w:t xml:space="preserve">, acompañados de contextos </w:t>
      </w:r>
      <w:hyperlink r:id="rId23">
        <w:r>
          <w:rPr>
            <w:color w:val="0563C1"/>
            <w:u w:val="single"/>
          </w:rPr>
          <w:t xml:space="preserve">NGSI-LD</w:t>
        </w:r>
      </w:hyperlink>
      <w:r>
        <w:rPr/>
        <w:t xml:space="preserve">, organizados en más de una decena de dominios temáticos —ciudades inteligentes, energía, agua, agroalimentación, logística, salud, turismo, robótica, manufactura y medio ambiente, entre otros—, todos ellos mantenidos como repositorios públicos en </w:t>
      </w:r>
      <w:hyperlink r:id="rId24">
        <w:r>
          <w:rPr>
            <w:color w:val="0563C1"/>
            <w:u w:val="single"/>
          </w:rPr>
          <w:t xml:space="preserve">GitHub</w:t>
        </w:r>
      </w:hyperlink>
      <w:r>
        <w:rPr/>
        <w:t xml:space="preserve"> y sujetos a un proceso de contribución documentado: un </w:t>
      </w:r>
      <w:hyperlink r:id="rId25">
        <w:r>
          <w:rPr>
            <w:color w:val="0563C1"/>
            <w:u w:val="single"/>
          </w:rPr>
          <w:t xml:space="preserve">manual de contribución</w:t>
        </w:r>
      </w:hyperlink>
      <w:r>
        <w:rPr/>
        <w:t xml:space="preserve">, un </w:t>
      </w:r>
      <w:hyperlink r:id="rId26">
        <w:r>
          <w:rPr>
            <w:color w:val="0563C1"/>
            <w:u w:val="single"/>
          </w:rPr>
          <w:t xml:space="preserve">acuerdo de contribuyente</w:t>
        </w:r>
      </w:hyperlink>
      <w:r>
        <w:rPr/>
        <w:t xml:space="preserve">, una lista de verificación y una </w:t>
      </w:r>
      <w:hyperlink r:id="rId27">
        <w:r>
          <w:rPr>
            <w:color w:val="0563C1"/>
            <w:u w:val="single"/>
          </w:rPr>
          <w:t xml:space="preserve">herramienta de validación automatizada de esquemas</w:t>
        </w:r>
      </w:hyperlink>
      <w:r>
        <w:rPr/>
        <w:t xml:space="preserve">. Su gobernanza, inicialmente impulsada por FIWARE Foundation, se ha ido abriendo progresivamente a otras organizaciones: hoy la dirigen conjuntamente </w:t>
      </w:r>
      <w:hyperlink r:id="rId21">
        <w:r>
          <w:rPr>
            <w:color w:val="0563C1"/>
            <w:u w:val="single"/>
          </w:rPr>
          <w:t xml:space="preserve">FIWARE Foundation</w:t>
        </w:r>
      </w:hyperlink>
      <w:r>
        <w:rPr/>
        <w:t xml:space="preserve">, </w:t>
      </w:r>
      <w:hyperlink r:id="rId28">
        <w:r>
          <w:rPr>
            <w:color w:val="0563C1"/>
            <w:u w:val="single"/>
          </w:rPr>
          <w:t xml:space="preserve">TM Forum</w:t>
        </w:r>
      </w:hyperlink>
      <w:r>
        <w:rPr/>
        <w:t>,</w:t>
      </w:r>
      <w:r>
        <w:rPr/>
        <w:t xml:space="preserve"> </w:t>
      </w:r>
      <w:hyperlink r:id="rId29">
        <w:r>
          <w:rPr>
            <w:color w:val="0563C1"/>
            <w:u w:val="single"/>
          </w:rPr>
          <w:t xml:space="preserve">OASC</w:t>
        </w:r>
      </w:hyperlink>
      <w:r>
        <w:rPr/>
        <w:t>,</w:t>
      </w:r>
      <w:r>
        <w:rPr/>
        <w:t xml:space="preserve"> </w:t>
      </w:r>
      <w:r>
        <w:rPr/>
        <w:t xml:space="preserve">e </w:t>
      </w:r>
      <w:hyperlink r:id="rId30">
        <w:r>
          <w:rPr>
            <w:color w:val="0563C1"/>
            <w:u w:val="single"/>
          </w:rPr>
          <w:t xml:space="preserve">IUDX</w:t>
        </w:r>
      </w:hyperlink>
      <w:r>
        <w:rPr/>
        <w:t xml:space="preserve"> (India Urban Data Exchange), con una invitación explícita a que otras entidades con casos de uso genuinos se incorporen a esa </w:t>
      </w:r>
      <w:hyperlink r:id="rId31">
        <w:r>
          <w:rPr>
            <w:color w:val="0563C1"/>
            <w:u w:val="single"/>
          </w:rPr>
          <w:t xml:space="preserve">gobernanza compartida</w:t>
        </w:r>
      </w:hyperlink>
      <w:r>
        <w:rPr/>
        <w:t>, en coherencia con el principio de apertura del Manifiesto aplicado no solo a los modelos, sino a la propia dirección del programa.</w:t>
      </w:r>
    </w:p>
    <w:p>
      <w:pPr/>
      <w:r>
        <w:rPr/>
        <w:t>El programa opera mediante un proceso de contribución deliberadamente ligero, coherente con el principio de agilidad: cualquier persona u organización puede proponer un modelo nuevo siguiendo una plantilla estandarizada, que debe pasar una validación automática de sintaxis y consistencia ejecutada mediante integración continua antes de ser aceptada en el repositorio correspondiente. No existe comité de aprobación previo en sentido clásico; existe, en su lugar, un conjunto de reglas objetivas —¿es JSON Schema válido?, ¿incluye ejemplos de instancia?, ¿reutiliza atributos ya definidos en otros modelos del mismo dominio en lugar de duplicarlos?— cuyo cumplimiento se comprueba de forma mecánica. La revisión humana se reserva para los casos en los que estas reglas automáticas no bastan para resolver una ambigüedad semántica genuina, en línea exacta con el primer principio del Manifiesto.</w:t>
      </w:r>
    </w:p>
    <w:p>
      <w:pPr/>
      <w:r>
        <w:rPr/>
        <w:t xml:space="preserve">El elemento más representativo de la aplicación práctica del Manifiesto es el </w:t>
      </w:r>
      <w:hyperlink r:id="rId32">
        <w:r>
          <w:rPr>
            <w:i/>
            <w:color w:val="0563C1"/>
            <w:u w:val="single"/>
          </w:rPr>
          <w:t xml:space="preserve">Candidates Repository</w:t>
        </w:r>
      </w:hyperlink>
      <w:r>
        <w:rPr/>
        <w:t>, lanzado el 22 de julio de 2026 como un espacio explícitamente diseñado como punto de entrada de baja fricción: en lugar de exigir que cualquier especificación externa pase primero por un proceso completo de consenso, el repositorio de candidatos permite traducir directamente estándares, ontologías y especificaciones ya existentes a un formato de modelo de datos inmediatamente utilizable. Una condición es aquí ineludible y no meramente deseable: el estándar de origen debe tener, él mismo, una licencia abierta, ya que de otro modo no sería posible generar y redistribuir los modelos Smart Data Models derivados de él sin incurrir en una contradicción de licencia. A fecha de septiembre de 2026, este repositorio recoge 29 estándares traducidos en 385 modelos de datos distintos, un volumen que ningún proceso de normalización clásico podría haber alcanzado en un plazo comparable.</w:t>
      </w:r>
    </w:p>
    <w:p>
      <w:pPr/>
      <w:r>
        <w:rPr/>
        <w:t xml:space="preserve">Tres ejemplos ilustran la variedad de estándares mapeados hasta ahora. El primero es la </w:t>
      </w:r>
      <w:hyperlink r:id="rId33">
        <w:r>
          <w:rPr>
            <w:color w:val="0563C1"/>
            <w:u w:val="single"/>
          </w:rPr>
          <w:t xml:space="preserve">ontología de Gaia-X</w:t>
        </w:r>
      </w:hyperlink>
      <w:r>
        <w:rPr/>
        <w:t xml:space="preserve">, traducida a partir de su </w:t>
      </w:r>
      <w:hyperlink r:id="rId34">
        <w:r>
          <w:rPr>
            <w:color w:val="0563C1"/>
            <w:u w:val="single"/>
          </w:rPr>
          <w:t xml:space="preserve">especificación original</w:t>
        </w:r>
      </w:hyperlink>
      <w:r>
        <w:rPr/>
        <w:t xml:space="preserve">, el marco de confianza europeo para espacios de datos federados: sus 165 clases —que cubren desde recursos de cómputo hasta credenciales de cumplimiento normativo— han sido traducidas íntegramente, una por una, a modelos Smart Data Models. El segundo es </w:t>
      </w:r>
      <w:hyperlink r:id="rId35">
        <w:r>
          <w:rPr>
            <w:color w:val="0563C1"/>
            <w:u w:val="single"/>
          </w:rPr>
          <w:t xml:space="preserve">EDINT</w:t>
        </w:r>
      </w:hyperlink>
      <w:r>
        <w:rPr/>
        <w:t xml:space="preserve">, el Espacio de Datos para las Infraestructuras Urbanas Inteligentes financiado por la Unión Europea, que se han mapeado </w:t>
      </w:r>
      <w:r>
        <w:rPr/>
        <w:t xml:space="preserve">al completo desde </w:t>
      </w:r>
      <w:r>
        <w:rPr/>
        <w:t xml:space="preserve">su </w:t>
      </w:r>
      <w:hyperlink r:id="rId36">
        <w:r>
          <w:rPr>
            <w:color w:val="0563C1"/>
            <w:u w:val="single"/>
          </w:rPr>
          <w:t xml:space="preserve">ontología de agenda ciudadana</w:t>
        </w:r>
      </w:hyperlink>
      <w:r>
        <w:rPr/>
        <w:t xml:space="preserve"> (a partir de su </w:t>
      </w:r>
      <w:hyperlink r:id="rId37">
        <w:r>
          <w:rPr>
            <w:color w:val="0563C1"/>
            <w:u w:val="single"/>
          </w:rPr>
          <w:t xml:space="preserve">ontología original</w:t>
        </w:r>
      </w:hyperlink>
      <w:r>
        <w:rPr/>
        <w:t xml:space="preserve">) </w:t>
      </w:r>
      <w:r>
        <w:rPr/>
        <w:t xml:space="preserve">hasta </w:t>
      </w:r>
      <w:r>
        <w:rPr/>
        <w:t xml:space="preserve">su </w:t>
      </w:r>
      <w:hyperlink r:id="rId38">
        <w:r>
          <w:rPr>
            <w:color w:val="0563C1"/>
            <w:u w:val="single"/>
          </w:rPr>
          <w:t xml:space="preserve">ontología de infraestructura urbana</w:t>
        </w:r>
      </w:hyperlink>
      <w:r>
        <w:rPr/>
        <w:t xml:space="preserve"> (a partir de su </w:t>
      </w:r>
      <w:hyperlink r:id="rId39">
        <w:r>
          <w:rPr>
            <w:color w:val="0563C1"/>
            <w:u w:val="single"/>
          </w:rPr>
          <w:t xml:space="preserve">ontología original</w:t>
        </w:r>
      </w:hyperlink>
      <w:r>
        <w:rPr/>
        <w:t xml:space="preserve">). El tercero, de naturaleza distinta por partir directamente de un dataset real y no de una ontología formal, es el </w:t>
      </w:r>
      <w:hyperlink r:id="rId40">
        <w:r>
          <w:rPr>
            <w:color w:val="0563C1"/>
            <w:u w:val="single"/>
          </w:rPr>
          <w:t xml:space="preserve">modelo construido a partir de los accidentes de tráfico de la Ciudad de Madrid</w:t>
        </w:r>
      </w:hyperlink>
      <w:r>
        <w:rPr/>
        <w:t xml:space="preserve">, publicados por la Dirección General de la Policía Municipal del Ayuntamiento de Madrid a través del </w:t>
      </w:r>
      <w:hyperlink r:id="rId41">
        <w:r>
          <w:rPr>
            <w:color w:val="0563C1"/>
            <w:u w:val="single"/>
          </w:rPr>
          <w:t xml:space="preserve">portal de datos abiertos municipal</w:t>
        </w:r>
      </w:hyperlink>
      <w:r>
        <w:rPr/>
        <w:t>, que ilustra cómo el repositorio de candidatos también da cabida a especificaciones extraídas directamente de la documentación de un dataset abierto ya existente, sin que medie ontología previa alguna.</w:t>
      </w:r>
    </w:p>
    <w:p>
      <w:pPr/>
      <w:r>
        <w:rPr/>
        <w:t>Esta función merece una precisión importante, más allá de la mera velocidad: el repositorio de candidatos no se limita a generar nuevos modelos, sino que recupera activamente parte de la dispersión ya existente en el ecosistema. Numerosos estándares abiertos —publicados por organismos sectoriales, agencias reguladoras o consorcios técnicos— cumplen sobradamente con el principio de apertura en términos de licencia, pero presentan barreras de conocimiento técnico tan altas (formatos propietarios de facto, documentación dispersa en cientos de páginas, dependencias de herramientas específicas) que en la práctica su adopción real es marginal. Al traducirlos a un formato JSON Schema homogéneo, documentado y acompañado de ejemplos ejecutables, Smart Data Models contribuye a la diseminación práctica de esos estándares, eliminando las barreras de conocimiento y de implementación que dificultaban su adopción, sin restarles mérito ni sustituirlos. Este efecto es especialmente relevante para el argumento central de este artículo: la estandarización ágil no solo contiene la dispersión futura generada por la IA, sino que además revierte parte de la dispersión heredada de décadas de estandarización clásica bienintencionada pero técnicamente inaccesible.</w:t>
      </w:r>
    </w:p>
    <w:p>
      <w:pPr/>
      <w:r>
        <w:rPr/>
        <w:t xml:space="preserve">Esta doble función —normalizar lo nuevo y rescatar lo antiguo— se apoya, además, en una arquitectura de gobernanza organizada en dominios temáticos independientes. Cada dominio —por ejemplo, SmartCities, Agrifood, Water o Energy— mantiene su propio repositorio, su propio ciclo de contribución y su propia comunidad de mantenedores, lo que permite que la evolución de un dominio no bloquee ni ralentice la de los demás. Esta independencia organizativa, distinta de la autocontención a nivel de modelo individual descrita en el sexto principio pero inspirada en la misma lógica de evitar dependencias innecesarias, es una condición necesaria para sostener la velocidad de publicación: un único comité centralizado revisando cientos de modelos en decenas de dominios reproduciría, aunque fuera con mejor voluntad, el mismo cuello de botella que la estandarización ágil pretende evitar. Adicionalmente, la disponibilidad de herramientas de acceso programático —como la librería </w:t>
      </w:r>
      <w:hyperlink r:id="rId42">
        <w:r>
          <w:rPr>
            <w:color w:val="0563C1"/>
            <w:u w:val="single"/>
          </w:rPr>
          <w:t xml:space="preserve">pysmartdatamodels</w:t>
        </w:r>
      </w:hyperlink>
      <w:r>
        <w:rPr/>
        <w:t>, que permite consultar, validar y generar instancias de los modelos directamente desde código— resulta decisiva para el argumento que se desarrolla en la siguiente sección: un catálogo de datos abiertos a la consulta y manipulación automatizada por máquinas es, precisamente, el tipo de infraestructura que un agente de IA necesita para operar sin intervención humana continua.</w:t>
      </w:r>
    </w:p>
    <w:p>
      <w:pPr>
        <w:pStyle w:val="Ttulo2"/>
      </w:pPr>
      <w:r>
        <w:rPr/>
        <w:t>4. Agentes de IA como motor de agilidad</w:t>
      </w:r>
    </w:p>
    <w:p>
      <w:pPr/>
      <w:r>
        <w:rPr/>
        <w:t>Si la estandarización ágil reduce el tiempo de normalización de años a semanas, los agentes de IA permiten dar el siguiente salto: de semanas a minutos, y de un proceso asistido por humanos a uno sustancialmente automatizado. Un agente de IA orientado a esta tarea puede, a partir de la documentación de un estándar externo o de un conjunto de datasets de muestra, proponer un esquema JSON Schema candidato, generar el contexto semántico correspondiente, validarlo contra las convenciones del programa y producir ejemplos de instancia, todo ello en el tiempo que antes requería preparar una única reunión de un comité técnico.</w:t>
      </w:r>
    </w:p>
    <w:p>
      <w:pPr/>
      <w:r>
        <w:rPr/>
        <w:t>Esta capacidad no es meramente incremental respecto al proceso ya ágil descrito en la sección 3: transforma la naturaleza misma de la normalización, que pasa de ser una actividad de proyecto —con inicio y fin definidos, ejecutada por especialistas— a una actividad continua e integrada en el propio flujo de publicación de datos. Un organismo que publica un nuevo dataset puede, en el mismo acto de publicación, obtener de un agente de IA una propuesta de modelo de datos normalizado, contrastada automáticamente contra el catálogo existente en Smart Data Models para evitar la creación de un esquema redundante, en línea con el segundo principio del Manifiesto. La normalización deja así de ser un cuello de botella posterior a la publicación para convertirse en un paso simultáneo a ella, cerrando la brecha entre la velocidad de generación de datos y la velocidad de su interoperabilidad semántica.</w:t>
      </w:r>
    </w:p>
    <w:p>
      <w:pPr/>
      <w:r>
        <w:rPr/>
        <w:t>En términos operativos, este flujo puede describirse en cuatro pasos que hoy ya son técnicamente viables con las herramientas descritas en la sección anterior: primero, el agente identifica la estructura del dataset a publicar —columnas, tipos, unidades— a partir de una muestra; segundo, consulta el catálogo de Smart Data Models, mediante acceso programático, para determinar si existe ya un modelo o un candidato que cubra ese caso de uso, total o parcialmente; tercero, si el ajuste es parcial, propone las adaptaciones mínimas necesarias respetando el principio de generalización, en lugar de crear un esquema nuevo desde cero; y cuarto, genera automáticamente el fichero de contexto semántico y los ejemplos de instancia que acompañan a la publicación, dejando a un revisor humano únicamente la validación final de los casos ambiguos. Ninguno de estos cuatro pasos requiere, individualmente, una capacidad de razonamiento sofisticada; su valor está en la integración de los cuatro en un flujo continuo, sin las esperas ni traspasos manuales que caracterizaban al proceso tradicional.</w:t>
      </w:r>
    </w:p>
    <w:p>
      <w:pPr/>
      <w:r>
        <w:rPr/>
        <w:t>Es razonable esperar, además, que esta velocidad no sea un techo sino un punto de partida. La capacidad de los agentes de IA para razonar sobre esquemas, detectar solapamientos semánticos entre modelos existentes y proponer generalizaciones válidas —el cuarto principio del Manifiesto— se encuentra todavía en una fase temprana de desarrollo. A medida que estos agentes mejoren su capacidad de comprensión contextual y de coordinación entre sí, cabe esperar que el proceso de normalización se acelere todavía más, aproximándose al límite teórico en el que la normalización ocurre en el mismo instante en que el dato se genera, sin intervención humana salvo en la resolución de conflictos semánticos genuinamente ambiguos.</w:t>
      </w:r>
    </w:p>
    <w:p>
      <w:pPr>
        <w:pStyle w:val="Ttulo2"/>
      </w:pPr>
      <w:r>
        <w:rPr/>
        <w:t>5. Aplicación crítica: spain.meloda.org</w:t>
      </w:r>
    </w:p>
    <w:p>
      <w:pPr/>
      <w:r>
        <w:rPr/>
        <w:t xml:space="preserve">Si Smart Data Models resuelve el problema de qué forma deben tener los datos para ser interoperables, queda pendiente un segundo problema, igualmente crítico: saber qué datos existen, dónde están y cuál es su calidad real. Este es el papel que cumple </w:t>
      </w:r>
      <w:hyperlink r:id="rId10">
        <w:r>
          <w:rPr>
            <w:color w:val="0563C1"/>
            <w:u w:val="single"/>
          </w:rPr>
          <w:t xml:space="preserve">spain.meloda.org</w:t>
        </w:r>
      </w:hyperlink>
      <w:r>
        <w:rPr/>
        <w:t xml:space="preserve">, monitor de datos abiertos de España que aplica la metodología </w:t>
      </w:r>
      <w:hyperlink r:id="rId11">
        <w:r>
          <w:rPr>
            <w:color w:val="0563C1"/>
            <w:u w:val="single"/>
          </w:rPr>
          <w:t xml:space="preserve">MELODA 5</w:t>
        </w:r>
      </w:hyperlink>
      <w:r>
        <w:rPr/>
        <w:t xml:space="preserve"> (Abella, Ortiz de Urbina Criado y De Pablos Heredero, 2019), desarrollada dentro del programa </w:t>
      </w:r>
      <w:hyperlink r:id="rId43">
        <w:r>
          <w:rPr>
            <w:color w:val="0563C1"/>
            <w:u w:val="single"/>
          </w:rPr>
          <w:t xml:space="preserve">meloda.org</w:t>
        </w:r>
      </w:hyperlink>
      <w:r>
        <w:rPr/>
        <w:t>, para evaluar sistemáticamente el potencial de reutilización de los datasets publicados por las administraciones públicas españolas.</w:t>
      </w:r>
    </w:p>
    <w:p>
      <w:pPr/>
      <w:r>
        <w:rPr/>
        <w:t>El monitor agrega actualmente más de 200.000 datasets, distribuidos en cerca de un millón de recursos, procedentes de más de 44 portales de datos abiertos activos en los ámbitos nacional, autonómico y local. Cada portal, y cada dataset individualmente, se evalúa de forma semanal e independiente conforme a las ocho dimensiones de MELODA 5, y no solo cuatro como en versiones anteriores de la métrica: licencia, acceso a la información, estándar técnico, nivel de estandarización, contenido geolocalizado, actualización de la frecuencia de datos, difusión y reputación. No todas ellas admiten, sin embargo, el mismo grado de automatización en su evaluación: difusión y reputación atienden a la capacidad de comunicación y a la reputación de la fuente de datos —si existen canales proactivos de aviso de actualizaciones, o si hay rankings u opiniones de usuarios que respalden la fuente— y no pueden inferirse directamente de la descarga del propio dato, sino que requieren fuentes externas de información sobre el portal. Las seis dimensiones restantes sí se intentan evaluar de forma directa por el monitorizador a partir del propio dataset y sus metadatos, pero con una limitación relevante que conviene no minimizar: la codificación de los metadatos no está normalizada entre portales, y en no pocos casos los metadatos necesarios para evaluar una dimensión concreta simplemente no existen. El resultado es que buena parte de las evaluaciones automatizadas de spain.meloda.org deben interpretarse hoy como una aproximación todavía no plenamente fiable, condicionada por la calidad de los metadatos disponibles y no solo por la calidad real del dato subyacente. La puntuación agregada sitúa a cada recurso en una escala de reutilización que va de “deficiente” a “bueno”, siendo el nivel “básico” el más frecuente entre los portales españoles analizados, lo que retrata un ecosistema con margen de mejora considerable incluso antes de considerar el problema de la dispersión de modelos. Esta evaluación continua, y no puntual, es coherente con el séptimo principio del Manifiesto: la calidad de un dataset no es un atributo estático que se certifica una vez, sino una condición que debe revisarse de forma sostenida a medida que cambian el propio dataset, su portal de origen o el contexto tecnológico de acceso.</w:t>
      </w:r>
    </w:p>
    <w:p>
      <w:pPr/>
      <w:r>
        <w:rPr/>
        <w:t xml:space="preserve">La aportación más relevante de spain.meloda.org para el argumento de este artículo es su modelo de acceso: además de una </w:t>
      </w:r>
      <w:hyperlink r:id="rId44">
        <w:r>
          <w:rPr>
            <w:color w:val="0563C1"/>
            <w:u w:val="single"/>
          </w:rPr>
          <w:t xml:space="preserve">API convencional</w:t>
        </w:r>
      </w:hyperlink>
      <w:r>
        <w:rPr/>
        <w:t xml:space="preserve">, el monitor expone su información mediante el protocolo </w:t>
      </w:r>
      <w:hyperlink r:id="rId12">
        <w:r>
          <w:rPr>
            <w:i/>
            <w:color w:val="0563C1"/>
            <w:u w:val="single"/>
          </w:rPr>
          <w:t xml:space="preserve">MCP (Model Context Protocol)</w:t>
        </w:r>
      </w:hyperlink>
      <w:r>
        <w:rPr/>
        <w:t xml:space="preserve">, </w:t>
      </w:r>
      <w:hyperlink r:id="rId45">
        <w:r>
          <w:rPr>
            <w:color w:val="0563C1"/>
            <w:u w:val="single"/>
          </w:rPr>
          <w:t xml:space="preserve">implementado en un punto de acceso dedicado</w:t>
        </w:r>
      </w:hyperlink>
      <w:r>
        <w:rPr/>
        <w:t xml:space="preserve"> y diseñado específicamente para que agentes de IA puedan consumir la información de forma estructurada y autónoma, sin intervención humana en cada consulta. Esto permite que un agente de IA que necesite localizar, evaluar y seleccionar datasets de calidad sobre una materia concreta —por ejemplo, movilidad urbana o calidad del aire— pueda hacerlo consultando directamente el monitor, en lugar de rastrear manualmente decenas de portales heterogéneos. MELODA y Smart Data Models se complementan así en dos planos distintos pero convergentes: uno evalúa la calidad y localización de los datos (MELODA), y el otro normaliza su forma para hacerlos interoperables (Smart Data Models); ambos, expuestos a agentes de IA, cierran el ciclo completo entre publicación, evaluación y consumo automatizado.</w:t>
      </w:r>
    </w:p>
    <w:p>
      <w:pPr/>
      <w:r>
        <w:rPr/>
        <w:t>Conviene, sin embargo, no idealizar este proceso: el propio ejercicio de construcción del monitor ha revelado una fricción técnica tan relevante como poco discutida en la literatura. De forma sorprendente, un número significativo de portales de datos abiertos limita o bloquea directamente el harvesting automatizado e intensivo, no por una política deliberada de restricción de acceso —los datos, al fin y al cabo, son abiertos por definición— sino porque sus infraestructuras técnicas son incapaces de diferenciar entre un uso intensivo legítimo, como el que requiere un monitor que evalúa periódicamente decenas de miles de recursos, y un ataque digital de tipo denegación de servicio. Cortafuegos y sistemas de mitigación configurados con umbrales de tráfico pensados para un uso manual y esporádico terminan por penalizar, con los mismos mecanismos pensados para proteger el portal, precisamente el tipo de consumo masivo y automatizado que la era de la IA vuelve necesario y deseable. El resultado práctico, constatado durante la construcción y operación del propio monitor, incluye bloqueos temporales de direcciones IP, respuestas de error genéricas indistinguibles de una caída real del servicio, y en ocasiones la exigencia retroactiva de mecanismos de autenticación no documentados previamente, todo ello activado por patrones de acceso que, desde cualquier criterio razonable, constituyen precisamente el tipo de reutilización intensiva que la apertura de los datos pretendía fomentar. La ironía de fondo es notable: son los propios portales que declaran sus datos como abiertos los que, por limitaciones de su infraestructura técnica y no por decisión de política de datos, terminan restringiendo de facto el acceso a quienes más valor pueden extraer de ellos a gran escala. Esta fricción no invalida el modelo propuesto, pero constituye una advertencia importante: la infraestructura técnica de publicación de datos abiertos en España no está todavía preparada, en muchos casos, para el volumen de consumo que los propios agentes de IA que este artículo defiende como solución van a generar, y su adecuación es una condición necesaria, aunque hasta ahora poco visible, para que la normalización en tiempo real sea sostenible a escala. Mitigar esta fricción exigirá, previsiblemente, avances en ambas direcciones: portales capaces de identificar y otorgar cortesía a consumidores automatizados de buena fe —mediante claves de acceso dedicadas o límites de tasa adaptativos—, y agentes de IA diseñados para respetar convenciones de buen uso —intervalos de espera, identificación explícita, capacidad de reintento diferido— que hoy no están estandarizadas.</w:t>
      </w:r>
    </w:p>
    <w:p>
      <w:pPr>
        <w:pStyle w:val="Ttulo2"/>
      </w:pPr>
      <w:r>
        <w:rPr/>
        <w:t>6. Discusión</w:t>
      </w:r>
    </w:p>
    <w:p>
      <w:pPr/>
      <w:r>
        <w:rPr/>
        <w:t>Los tres elementos descritos —estandarización ágil, agentes de IA y métricas de calidad como MELODA— no constituyen, tomados individualmente, una solución completa al problema de la dispersión de datos abiertos, y sería ingenuo presentarlos como tal. La dispersión es, en última instancia, una consecuencia estructural de la autonomía organizativa de miles de administraciones públicas que publican datos de forma independiente, y ningún mecanismo técnico elimina por completo el incentivo, o la simple inercia, que lleva a cada organismo a modelar sus propios datos a su manera. Sin agentes de IA que normalicen en tiempo real, sin repositorios de candidatos que rescaten estándares abiertos pero inaccesibles, y sin monitores que evalúen y expongan la calidad de lo publicado, el camino por defecto del ecosistema de datos abiertos conduce de forma prácticamente inexorable hacia una dispersión creciente, agravada —no atenuada— por la propia facilidad de publicación que la IA proporciona.</w:t>
      </w:r>
    </w:p>
    <w:p>
      <w:pPr/>
      <w:r>
        <w:rPr/>
        <w:t>Lo que este artículo sostiene es más modesto y, por ello mismo, más defendible: la combinación de estandarización ágil, agentes de IA y métricas de calidad no revierte esa tendencia estructural, pero sí la contiene de forma significativa, ofreciendo una alternativa viable allí donde, de otro modo, no existiría ninguna. Smart Data Models demuestra que es posible normalizar a la misma velocidad —o casi— a la que se generan los datos; spain.meloda.org demuestra que es posible evaluar y exponer la calidad de esos datos a escala de país y en tiempo casi real; y los agentes de IA demuestran que ambas tareas pueden automatizarse hasta el punto de integrarse en el propio flujo de publicación. Ninguna de las tres piezas, por separado, sería suficiente; juntas, desplazan el equilibrio del ecosistema desde la dispersión inercial hacia una interoperabilidad alcanzable, aunque nunca completa ni definitiva.</w:t>
      </w:r>
    </w:p>
    <w:p>
      <w:pPr/>
      <w:r>
        <w:rPr/>
        <w:t>Esta conclusión tiene una implicación directa para los organismos de estandarización clásicos mencionados en la introducción: su alternativa no es competir en rigor —terreno en el que probablemente seguirán siendo superiores— sino adaptar su ritmo de trabajo, incorporando mecanismos de tipo candidatos, delegando en agentes de IA las tareas mecánicas de su proceso, y aceptando la revisión continua como sustituto parcial del consenso previo exhaustivo. Quienes no lo hagan corren el riesgo, ya señalado, de una irrelevancia progresiva: no porque sus estándares dejen de ser técnicamente correctos, sino porque el ecosistema, generando datos a la velocidad que la IA permite, simplemente no podrá esperar a que estén listos.</w:t>
      </w:r>
    </w:p>
    <w:p>
      <w:pPr/>
      <w:r>
        <w:rPr/>
        <w:t>La fricción de harvesting descrita en la sección 5 añade un matiz necesario a esta discusión: la velocidad de normalización y consumo que los agentes de IA hacen posible no depende solo de la voluntad o capacidad de los organismos de estandarización y de quienes construyen agentes, sino también de una infraestructura de publicación —los propios portales— que constituye el eslabón más débil de toda la cadena. De poco sirve normalizar un modelo en minutos y evaluar su calidad semanalmente si, en la práctica, el acceso masivo al dato subyacente se ve bloqueado por sistemas de seguridad mal calibrados. Esto sugiere que el debate sobre estandarización ágil no puede limitarse al plano semántico —cómo se modelan los datos— sino que debe extenderse al plano de infraestructura de acceso, un aspecto habitualmente ausente de la literatura sobre datos abiertos, más centrada en cuestiones de licencia y formato que en la capacidad real de los portales para sostener un consumo automatizado a gran escala.</w:t>
      </w:r>
    </w:p>
    <w:p>
      <w:pPr>
        <w:pStyle w:val="Ttulo2"/>
      </w:pPr>
      <w:r>
        <w:rPr/>
        <w:t>7. Conclusiones</w:t>
      </w:r>
    </w:p>
    <w:p>
      <w:pPr/>
      <w:r>
        <w:rPr/>
        <w:t>Este artículo ha analizado cómo la combinación de estandarización ágil, agentes de IA y métricas de calidad de datos permite abordar, aunque no resolver por completo, el problema de la dispersión de modelos de datos que la propia IA generativa ha agravado al abaratar la producción de código y la publicación de datos abiertos. El Manifiesto para la Estandarización Ágil (Abella y Fox, 2022) y su implementación de referencia, Smart Data Models, demuestran que es posible normalizar datos a una velocidad comparable a la de su generación, y que este proceso además contribuye a recuperar estándares abiertos previamente inaccesibles por sus barreras técnicas. Los agentes de IA se perfilan como el motor que puede llevar esta agilidad a su límite, integrando la normalización en el propio acto de publicación de datos, con una velocidad que previsiblemente seguirá aumentando conforme estos agentes maduren.</w:t>
      </w:r>
    </w:p>
    <w:p>
      <w:pPr/>
      <w:r>
        <w:rPr/>
        <w:t>El caso de spain.meloda.org ilustra tanto el potencial como los límites prácticos de este paradigma: un monitor capaz de evaluar semanalmente más de 200.000 datasets y exponerlos a agentes de IA mediante el protocolo MCP representa un salto cualitativo en la infraestructura de datos abiertos, pero su desarrollo ha revelado también que buena parte de esa infraestructura —empezando por los propios portales de origen— no está todavía preparada para el volumen de consumo automatizado que la era de la IA exige, al confundir en ocasiones el uso intensivo legítimo con un ataque digital.</w:t>
      </w:r>
    </w:p>
    <w:p>
      <w:pPr/>
      <w:r>
        <w:rPr/>
        <w:t>La conclusión general es que ni la estandarización ágil, ni los agentes de IA, ni las métricas de calidad, por separado, evitarían que el ecosistema de datos abiertos derivase hacia una dispersión creciente. Combinados, sin embargo, constituyen la vía más eficaz disponible hoy para contener esa deriva y transformar un ecosistema de datos dispersos en un conjunto de activos estratégicos, normalizados y evaluados, listos para maximizar el impacto socioeconómico de los datos abiertos en la era de la Inteligencia Artificial. Queda para futuras líneas de investigación cuantificar ese impacto de forma empírica, así como estudiar en detalle las soluciones técnicas —limitación adaptativa de tasa, identificación de agentes de confianza, estándares de cortesía en el harvesting— que permitirían resolver la fricción entre consumo automatizado y protección de portales descrita en este trabajo.</w:t>
      </w:r>
    </w:p>
    <w:p>
      <w:pPr/>
      <w:r>
        <w:rPr/>
      </w:r>
    </w:p>
    <w:p>
      <w:pPr>
        <w:pStyle w:val="Ttulo2"/>
      </w:pPr>
      <w:r>
        <w:rPr/>
        <w:t>Referencias bibliográficas</w:t>
      </w:r>
    </w:p>
    <w:p>
      <w:pPr/>
      <w:r>
        <w:rPr/>
        <w:t xml:space="preserve">Abella, A.; Ortiz-de-Urbina-Criado, M. y De-Pablos-Heredero, C., 2014. “Meloda, a metric to assess open data reuse”, </w:t>
      </w:r>
      <w:r>
        <w:rPr>
          <w:i/>
        </w:rPr>
        <w:t>El profesional de la información</w:t>
      </w:r>
      <w:r>
        <w:rPr/>
        <w:t xml:space="preserve">. 23(6): 582-588. DOI: </w:t>
      </w:r>
      <w:hyperlink r:id="rId14">
        <w:r>
          <w:rPr>
            <w:color w:val="0563C1"/>
            <w:u w:val="single"/>
          </w:rPr>
          <w:t xml:space="preserve">https://doi.org/10.3145/epi.2014.nov.04</w:t>
        </w:r>
      </w:hyperlink>
    </w:p>
    <w:p>
      <w:pPr/>
      <w:r>
        <w:rPr/>
        <w:t xml:space="preserve">Abella, A.; Ortiz-de-Urbina-Criado, M. y De-Pablos-Heredero, C., 2019. “Meloda 5: A metric to assess open data reusability”, </w:t>
      </w:r>
      <w:r>
        <w:rPr>
          <w:i/>
        </w:rPr>
        <w:t>El profesional de la información</w:t>
      </w:r>
      <w:r>
        <w:rPr/>
        <w:t xml:space="preserve">. 28(6): e280620. DOI: </w:t>
      </w:r>
      <w:hyperlink r:id="rId11">
        <w:r>
          <w:rPr>
            <w:color w:val="0563C1"/>
            <w:u w:val="single"/>
          </w:rPr>
          <w:t xml:space="preserve">https://doi.org/10.3145/epi.2019.nov.20</w:t>
        </w:r>
      </w:hyperlink>
    </w:p>
    <w:p>
      <w:pPr/>
      <w:r>
        <w:rPr/>
        <w:t xml:space="preserve">Abella, A.; Ortiz de Urbina Criado, M.; De Pablos Heredero, C. y García Luna, D., 2024. </w:t>
      </w:r>
      <w:r>
        <w:rPr>
          <w:i/>
        </w:rPr>
        <w:t>La reutilización de datos abiertos en España: actualización 2024</w:t>
      </w:r>
      <w:r>
        <w:rPr/>
        <w:t xml:space="preserve">. Madrid: Fundación Cotec para la Innovación. ISBN: 978-84-92933-11-2. Disponible en: </w:t>
      </w:r>
      <w:hyperlink r:id="rId13">
        <w:r>
          <w:rPr>
            <w:color w:val="0563C1"/>
            <w:u w:val="single"/>
          </w:rPr>
          <w:t xml:space="preserve">https://www.meloda.org/wp-content/uploads/2024/04/ESTUDIO-COTEC_IV-REUTILIZACION-DE-DATOS-ABIERTOS_V3.pdf</w:t>
        </w:r>
      </w:hyperlink>
      <w:r>
        <w:rPr/>
        <w:t xml:space="preserve"> [Acceso: 13 septiembre 2026].</w:t>
      </w:r>
    </w:p>
    <w:p>
      <w:pPr/>
      <w:r>
        <w:rPr/>
        <w:t xml:space="preserve">Abella, A. y Fox, J., 2022. </w:t>
      </w:r>
      <w:r>
        <w:rPr>
          <w:i/>
        </w:rPr>
        <w:t>Agile Standardization Manifesto (MAS), v1.1</w:t>
      </w:r>
      <w:r>
        <w:rPr/>
        <w:t xml:space="preserve">. FIWARE Foundation, Smart Data Models Program. Disponible en: </w:t>
      </w:r>
      <w:hyperlink r:id="rId8">
        <w:r>
          <w:rPr>
            <w:color w:val="0563C1"/>
            <w:u w:val="single"/>
          </w:rPr>
          <w:t xml:space="preserve">https://github.com/smart-data-models/data-models/blob/master/MANIFESTO.md</w:t>
        </w:r>
      </w:hyperlink>
      <w:r>
        <w:rPr/>
        <w:t xml:space="preserve"> [Acceso: 12 septiembre 2026].</w:t>
      </w:r>
    </w:p>
    <w:p>
      <w:pPr/>
      <w:r>
        <w:rPr/>
        <w:t xml:space="preserve">ASEDIE, 2024. </w:t>
      </w:r>
      <w:r>
        <w:rPr>
          <w:i/>
        </w:rPr>
        <w:t>Informe Infomediario: la reutilización de la información del sector público</w:t>
      </w:r>
      <w:r>
        <w:rPr/>
        <w:t xml:space="preserve">, 14ª ed. Madrid: Asociación Multisectorial de la Información. Disponible en: </w:t>
      </w:r>
      <w:hyperlink r:id="rId16">
        <w:r>
          <w:rPr>
            <w:color w:val="0563C1"/>
            <w:u w:val="single"/>
          </w:rPr>
          <w:t xml:space="preserve">https://www.asedie.es</w:t>
        </w:r>
      </w:hyperlink>
      <w:r>
        <w:rPr/>
        <w:t xml:space="preserve"> [Acceso: 13 septiembre 2026].</w:t>
      </w:r>
    </w:p>
    <w:p>
      <w:pPr/>
      <w:r>
        <w:rPr/>
        <w:t xml:space="preserve">Comisión Europea, 2022. </w:t>
      </w:r>
      <w:r>
        <w:rPr>
          <w:i/>
        </w:rPr>
        <w:t>Reglamento de Ejecución (UE) 2023/138 de la Comisión, de 21 de diciembre de 2022, por el que se establecen normas para la aplicación del Reglamento (UE) 2019/1024 del Parlamento Europeo y del Consejo en lo que respecta a los conjuntos de datos de alto valor y las modalidades de publicación y reutilización</w:t>
      </w:r>
      <w:r>
        <w:rPr/>
        <w:t xml:space="preserve">. Diario Oficial de la Unión Europea, L 19. Disponible en: </w:t>
      </w:r>
      <w:hyperlink r:id="rId17">
        <w:r>
          <w:rPr>
            <w:color w:val="0563C1"/>
            <w:u w:val="single"/>
          </w:rPr>
          <w:t xml:space="preserve">https://eur-lex.europa.eu/eli/reg_impl/2023/138/oj/spa</w:t>
        </w:r>
      </w:hyperlink>
      <w:r>
        <w:rPr/>
        <w:t xml:space="preserve"> [Acceso: 13 septiembre 2026].</w:t>
      </w:r>
    </w:p>
    <w:p>
      <w:pPr/>
      <w:r>
        <w:rPr/>
        <w:t xml:space="preserve">FIWARE Foundation, 2026. </w:t>
      </w:r>
      <w:r>
        <w:rPr>
          <w:i/>
        </w:rPr>
        <w:t>Smart Data Models Program</w:t>
      </w:r>
      <w:r>
        <w:rPr/>
        <w:t xml:space="preserve">. Disponible en: </w:t>
      </w:r>
      <w:hyperlink r:id="rId9">
        <w:r>
          <w:rPr>
            <w:color w:val="0563C1"/>
            <w:u w:val="single"/>
          </w:rPr>
          <w:t xml:space="preserve">https://smartdatamodels.org</w:t>
        </w:r>
      </w:hyperlink>
      <w:r>
        <w:rPr/>
        <w:t xml:space="preserve"> [Acceso: 12 septiembre 2026].</w:t>
      </w:r>
    </w:p>
    <w:p>
      <w:pPr/>
      <w:r>
        <w:rPr/>
        <w:t xml:space="preserve">Meloda Spain Monitor, 2026. </w:t>
      </w:r>
      <w:r>
        <w:rPr>
          <w:i/>
        </w:rPr>
        <w:t>Monitor de Datos Abiertos de España</w:t>
      </w:r>
      <w:r>
        <w:rPr/>
        <w:t xml:space="preserve">. Disponible en: </w:t>
      </w:r>
      <w:hyperlink r:id="rId10">
        <w:r>
          <w:rPr>
            <w:color w:val="0563C1"/>
            <w:u w:val="single"/>
          </w:rPr>
          <w:t xml:space="preserve">https://spain.meloda.org</w:t>
        </w:r>
      </w:hyperlink>
      <w:r>
        <w:rPr/>
        <w:t xml:space="preserve"> [Acceso: 12 septiembre 2026].</w:t>
      </w:r>
    </w:p>
    <w:p>
      <w:pPr/>
      <w:r>
        <w:rPr/>
        <w:t xml:space="preserve">Zuiderwijk, A. y Janssen, M., 2013. “Open data policies, their implementation and impact: A framework for comparison”, </w:t>
      </w:r>
      <w:r>
        <w:rPr>
          <w:i/>
        </w:rPr>
        <w:t>Government Information Quarterly</w:t>
      </w:r>
      <w:r>
        <w:rPr/>
        <w:t xml:space="preserve">. 31(1): 17-29. DOI: </w:t>
      </w:r>
      <w:hyperlink r:id="rId15">
        <w:r>
          <w:rPr>
            <w:color w:val="0563C1"/>
            <w:u w:val="single"/>
          </w:rPr>
          <w:t xml:space="preserve">https://doi.org/10.1016/j.giq.2013.04.003</w:t>
        </w:r>
      </w:hyperlink>
    </w:p>
    <w:sectPr w:rsidR="0085516A">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16A"/>
    <w:rsid w:val="005A615A"/>
    <w:rsid w:val="0085516A"/>
    <w:rsid w:val="00B52E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30245"/>
  <w15:docId w15:val="{BFF59635-98F1-46D2-BA86-798E46359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s-ES" w:eastAsia="es-ES" w:bidi="ar-SA"/>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jc w:val="center"/>
      <w:outlineLvl w:val="0"/>
    </w:pPr>
    <w:rPr>
      <w:b/>
    </w:rPr>
  </w:style>
  <w:style w:type="paragraph" w:styleId="Ttulo2">
    <w:name w:val="heading 2"/>
    <w:basedOn w:val="Normal"/>
    <w:next w:val="Normal"/>
    <w:uiPriority w:val="9"/>
    <w:unhideWhenUsed/>
    <w:qFormat/>
    <w:pPr>
      <w:spacing w:line="240" w:lineRule="auto"/>
      <w:ind w:left="284" w:right="282"/>
      <w:outlineLvl w:val="1"/>
    </w:pPr>
    <w:rPr>
      <w:b/>
    </w:rPr>
  </w:style>
  <w:style w:type="paragraph" w:styleId="Ttulo3">
    <w:name w:val="heading 3"/>
    <w:basedOn w:val="Normal"/>
    <w:next w:val="Normal"/>
    <w:uiPriority w:val="9"/>
    <w:unhideWhenUsed/>
    <w:qFormat/>
    <w:pPr>
      <w:spacing w:line="240" w:lineRule="auto"/>
      <w:ind w:left="284" w:right="282"/>
      <w:outlineLvl w:val="2"/>
    </w:pPr>
    <w:rPr>
      <w:u w:val="single"/>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jc w:val="center"/>
    </w:pPr>
    <w:rPr>
      <w:b/>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rcid.org/register" TargetMode="External"/><Relationship Id="rId4" Type="http://schemas.openxmlformats.org/officeDocument/2006/relationships/image" Target="media/image1.jpg"/><Relationship Id="rId8" Type="http://schemas.openxmlformats.org/officeDocument/2006/relationships/hyperlink" Target="https://github.com/smart-data-models/data-models/blob/master/MANIFESTO.md" TargetMode="External"/><Relationship Id="rId9" Type="http://schemas.openxmlformats.org/officeDocument/2006/relationships/hyperlink" Target="https://smartdatamodels.org/" TargetMode="External"/><Relationship Id="rId10" Type="http://schemas.openxmlformats.org/officeDocument/2006/relationships/hyperlink" Target="https://spain.meloda.org/" TargetMode="External"/><Relationship Id="rId11" Type="http://schemas.openxmlformats.org/officeDocument/2006/relationships/hyperlink" Target="https://doi.org/10.3145/epi.2019.nov.20" TargetMode="External"/><Relationship Id="rId12" Type="http://schemas.openxmlformats.org/officeDocument/2006/relationships/hyperlink" Target="https://modelcontextprotocol.io/" TargetMode="External"/><Relationship Id="rId13" Type="http://schemas.openxmlformats.org/officeDocument/2006/relationships/hyperlink" Target="https://www.meloda.org/wp-content/uploads/2024/04/ESTUDIO-COTEC_IV-REUTILIZACION-DE-DATOS-ABIERTOS_V3.pdf" TargetMode="External"/><Relationship Id="rId14" Type="http://schemas.openxmlformats.org/officeDocument/2006/relationships/hyperlink" Target="https://doi.org/10.3145/epi.2014.nov.04" TargetMode="External"/><Relationship Id="rId15" Type="http://schemas.openxmlformats.org/officeDocument/2006/relationships/hyperlink" Target="https://doi.org/10.1016/j.giq.2013.04.003" TargetMode="External"/><Relationship Id="rId16" Type="http://schemas.openxmlformats.org/officeDocument/2006/relationships/hyperlink" Target="https://www.asedie.es/" TargetMode="External"/><Relationship Id="rId17" Type="http://schemas.openxmlformats.org/officeDocument/2006/relationships/hyperlink" Target="https://eur-lex.europa.eu/eli/reg_impl/2023/138/oj/spa" TargetMode="External"/><Relationship Id="rId18" Type="http://schemas.openxmlformats.org/officeDocument/2006/relationships/hyperlink" Target="https://www.iso.org/" TargetMode="External"/><Relationship Id="rId19" Type="http://schemas.openxmlformats.org/officeDocument/2006/relationships/hyperlink" Target="https://www.cencenelec.eu/" TargetMode="External"/><Relationship Id="rId20" Type="http://schemas.openxmlformats.org/officeDocument/2006/relationships/hyperlink" Target="https://www.une.org/" TargetMode="External"/><Relationship Id="rId21" Type="http://schemas.openxmlformats.org/officeDocument/2006/relationships/hyperlink" Target="https://www.fiware.org/" TargetMode="External"/><Relationship Id="rId22" Type="http://schemas.openxmlformats.org/officeDocument/2006/relationships/hyperlink" Target="https://json-schema.org/" TargetMode="External"/><Relationship Id="rId23" Type="http://schemas.openxmlformats.org/officeDocument/2006/relationships/hyperlink" Target="https://www.etsi.org/deliver/etsi_gs/CIM/001_099/009/01.07.01_60/gs_CIM009v010701p.pdf" TargetMode="External"/><Relationship Id="rId24" Type="http://schemas.openxmlformats.org/officeDocument/2006/relationships/hyperlink" Target="https://github.com/smart-data-models" TargetMode="External"/><Relationship Id="rId25" Type="http://schemas.openxmlformats.org/officeDocument/2006/relationships/hyperlink" Target="https://bit.ly/contribution_manual" TargetMode="External"/><Relationship Id="rId26" Type="http://schemas.openxmlformats.org/officeDocument/2006/relationships/hyperlink" Target="https://github.com/smart-data-models/data-models/blob/master/contribution-agreement.md" TargetMode="External"/><Relationship Id="rId27" Type="http://schemas.openxmlformats.org/officeDocument/2006/relationships/hyperlink" Target="https://github.com/smart-data-models/data-models/tree/master/test_data_model" TargetMode="External"/><Relationship Id="rId28" Type="http://schemas.openxmlformats.org/officeDocument/2006/relationships/hyperlink" Target="https://www.tmforum.org/" TargetMode="External"/><Relationship Id="rId29" Type="http://schemas.openxmlformats.org/officeDocument/2006/relationships/hyperlink" Target="https://www.oascities.org/" TargetMode="External"/><Relationship Id="rId30" Type="http://schemas.openxmlformats.org/officeDocument/2006/relationships/hyperlink" Target="https://iudx.org.in/" TargetMode="External"/><Relationship Id="rId31" Type="http://schemas.openxmlformats.org/officeDocument/2006/relationships/hyperlink" Target="https://smartdatamodels.org/index.php/governance/" TargetMode="External"/><Relationship Id="rId32" Type="http://schemas.openxmlformats.org/officeDocument/2006/relationships/hyperlink" Target="https://github.com/smart-data-models/Candidates" TargetMode="External"/><Relationship Id="rId33" Type="http://schemas.openxmlformats.org/officeDocument/2006/relationships/hyperlink" Target="https://github.com/smart-data-models/Candidates/tree/master/standards/gaiax-ontology-v2111" TargetMode="External"/><Relationship Id="rId34" Type="http://schemas.openxmlformats.org/officeDocument/2006/relationships/hyperlink" Target="https://docs.gaia-x.eu/ontology/v2111/classes/" TargetMode="External"/><Relationship Id="rId35" Type="http://schemas.openxmlformats.org/officeDocument/2006/relationships/hyperlink" Target="https://edint.es/" TargetMode="External"/><Relationship Id="rId36" Type="http://schemas.openxmlformats.org/officeDocument/2006/relationships/hyperlink" Target="https://github.com/smart-data-models/Candidates/tree/master/standards/edint-agenda" TargetMode="External"/><Relationship Id="rId37" Type="http://schemas.openxmlformats.org/officeDocument/2006/relationships/hyperlink" Target="https://github.com/EDINT-Ontologia/edint-ontologia-agenda/tree/main" TargetMode="External"/><Relationship Id="rId38" Type="http://schemas.openxmlformats.org/officeDocument/2006/relationships/hyperlink" Target="https://github.com/smart-data-models/Candidates/tree/master/standards/edint-infraestructura" TargetMode="External"/><Relationship Id="rId39" Type="http://schemas.openxmlformats.org/officeDocument/2006/relationships/hyperlink" Target="https://github.com/EDINT-Ontologia/edint-ontologia-infraestructura/tree/main" TargetMode="External"/><Relationship Id="rId40" Type="http://schemas.openxmlformats.org/officeDocument/2006/relationships/hyperlink" Target="https://github.com/smart-data-models/Candidates/tree/master/standards/madrid-accidentes-trafico" TargetMode="External"/><Relationship Id="rId41" Type="http://schemas.openxmlformats.org/officeDocument/2006/relationships/hyperlink" Target="https://datos.madrid.es/dataset/300228-0-accidentes-trafico-detalle" TargetMode="External"/><Relationship Id="rId42" Type="http://schemas.openxmlformats.org/officeDocument/2006/relationships/hyperlink" Target="https://pypi.org/project/pysmartdatamodels/" TargetMode="External"/><Relationship Id="rId43" Type="http://schemas.openxmlformats.org/officeDocument/2006/relationships/hyperlink" Target="https://www.meloda.org/" TargetMode="External"/><Relationship Id="rId44" Type="http://schemas.openxmlformats.org/officeDocument/2006/relationships/hyperlink" Target="https://spain.meloda.org/api-docs.php" TargetMode="External"/><Relationship Id="rId45" Type="http://schemas.openxmlformats.org/officeDocument/2006/relationships/hyperlink" Target="https://spain.meloda.org/mcp.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470</Words>
  <Characters>2589</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Cesar Cruz-Rubio</cp:lastModifiedBy>
  <cp:revision>2</cp:revision>
  <dcterms:created xsi:type="dcterms:W3CDTF">2024-08-21T17:22:00Z</dcterms:created>
  <dcterms:modified xsi:type="dcterms:W3CDTF">2024-08-21T17:23:00Z</dcterms:modified>
</cp:coreProperties>
</file>